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9" w:rsidRPr="0039668B" w:rsidRDefault="00C139C9" w:rsidP="003966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BA71DF" w:rsidRDefault="00C139C9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Утверждено приказом</w:t>
      </w:r>
      <w:r w:rsidR="00BA71DF" w:rsidRPr="002B660A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Службы государственного надзора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2B660A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за техническим состоянием самоходных машин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2B660A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и других видов техники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2B660A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–</w:t>
      </w:r>
      <w:r w:rsidRPr="002B660A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Югры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2B660A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от 20 декабря 2017 года № 335-од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(в ред. приказа от 23.09.2020 № 257-од)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Проверочный лист (список контрольных вопросов)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при осуществлении надзора за безопасной эксплуатацией и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техническим состоянием аттракционной техники 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proofErr w:type="gramStart"/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>в</w:t>
      </w:r>
      <w:proofErr w:type="gramEnd"/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автономном округе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–</w:t>
      </w:r>
      <w:r w:rsidRPr="0039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Югре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r w:rsidRPr="0039668B">
        <w:rPr>
          <w:rFonts w:ascii="Times New Roman" w:eastAsiaTheme="minorHAnsi" w:hAnsi="Times New Roman" w:cs="Times New Roman"/>
          <w:sz w:val="24"/>
          <w:szCs w:val="28"/>
        </w:rPr>
        <w:t xml:space="preserve">(наименование территориального отдела </w:t>
      </w:r>
      <w:proofErr w:type="spellStart"/>
      <w:r w:rsidRPr="0039668B">
        <w:rPr>
          <w:rFonts w:ascii="Times New Roman" w:eastAsiaTheme="minorHAnsi" w:hAnsi="Times New Roman" w:cs="Times New Roman"/>
          <w:sz w:val="24"/>
          <w:szCs w:val="28"/>
        </w:rPr>
        <w:t>гостехнадзора</w:t>
      </w:r>
      <w:proofErr w:type="spellEnd"/>
      <w:r w:rsidRPr="0039668B">
        <w:rPr>
          <w:rFonts w:ascii="Times New Roman" w:eastAsiaTheme="minorHAnsi" w:hAnsi="Times New Roman" w:cs="Times New Roman"/>
          <w:sz w:val="24"/>
          <w:szCs w:val="28"/>
        </w:rPr>
        <w:t>)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proofErr w:type="gramStart"/>
      <w:r w:rsidRPr="0039668B">
        <w:rPr>
          <w:rFonts w:ascii="Times New Roman" w:eastAsiaTheme="minorHAnsi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  <w:proofErr w:type="gramEnd"/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sz w:val="28"/>
          <w:szCs w:val="28"/>
        </w:rPr>
        <w:t>2. Место проведения плановой проверки и (или) указание на используемые юридическим лицом, индивидуальным предпринимателем производственные объекты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sz w:val="28"/>
          <w:szCs w:val="28"/>
        </w:rPr>
        <w:t>3. Реквизиты приказа о проведении проверки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sz w:val="28"/>
          <w:szCs w:val="28"/>
        </w:rPr>
        <w:t>4. Учетный номер проверки и дата присвоения учетного номера проверки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668B">
        <w:rPr>
          <w:rFonts w:ascii="Times New Roman" w:eastAsiaTheme="minorHAnsi" w:hAnsi="Times New Roman" w:cs="Times New Roman"/>
          <w:sz w:val="28"/>
          <w:szCs w:val="28"/>
        </w:rPr>
        <w:t>Едином реестре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668B">
        <w:rPr>
          <w:rFonts w:ascii="Times New Roman" w:eastAsiaTheme="minorHAnsi" w:hAnsi="Times New Roman" w:cs="Times New Roman"/>
          <w:sz w:val="28"/>
          <w:szCs w:val="28"/>
        </w:rPr>
        <w:t>проверок___________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</w:t>
      </w:r>
      <w:r w:rsidRPr="0039668B">
        <w:rPr>
          <w:rFonts w:ascii="Times New Roman" w:eastAsiaTheme="minorHAnsi" w:hAnsi="Times New Roman" w:cs="Times New Roman"/>
          <w:sz w:val="28"/>
          <w:szCs w:val="28"/>
        </w:rPr>
        <w:t>__</w:t>
      </w: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sz w:val="28"/>
          <w:szCs w:val="28"/>
        </w:rPr>
        <w:t>___________________________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A71DF" w:rsidRPr="0039668B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668B">
        <w:rPr>
          <w:rFonts w:ascii="Times New Roman" w:eastAsiaTheme="minorHAnsi" w:hAnsi="Times New Roman" w:cs="Times New Roman"/>
          <w:sz w:val="28"/>
          <w:szCs w:val="28"/>
        </w:rPr>
        <w:t>5. Должность, фамилия и инициалы юридического лица, индивидуального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668B">
        <w:rPr>
          <w:rFonts w:ascii="Times New Roman" w:eastAsiaTheme="minorHAnsi" w:hAnsi="Times New Roman" w:cs="Times New Roman"/>
          <w:sz w:val="28"/>
          <w:szCs w:val="28"/>
        </w:rPr>
        <w:t>предпринимателя, заполняющего проверочный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668B">
        <w:rPr>
          <w:rFonts w:ascii="Times New Roman" w:eastAsiaTheme="minorHAnsi" w:hAnsi="Times New Roman" w:cs="Times New Roman"/>
          <w:sz w:val="28"/>
          <w:szCs w:val="28"/>
        </w:rPr>
        <w:t>лист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71DF" w:rsidRPr="00D62604" w:rsidRDefault="00BA71DF" w:rsidP="00BA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523"/>
        <w:gridCol w:w="2521"/>
        <w:gridCol w:w="2342"/>
        <w:gridCol w:w="693"/>
        <w:gridCol w:w="743"/>
        <w:gridCol w:w="1218"/>
        <w:gridCol w:w="1487"/>
      </w:tblGrid>
      <w:tr w:rsidR="00BA71DF" w:rsidTr="00E551B3">
        <w:tc>
          <w:tcPr>
            <w:tcW w:w="527" w:type="dxa"/>
            <w:vMerge w:val="restart"/>
          </w:tcPr>
          <w:p w:rsidR="00BA71DF" w:rsidRPr="00A60B19" w:rsidRDefault="00BA71DF" w:rsidP="00E5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vMerge w:val="restart"/>
          </w:tcPr>
          <w:p w:rsidR="00BA71DF" w:rsidRDefault="00BA71DF" w:rsidP="00E5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BA71DF" w:rsidRPr="00A60B19" w:rsidRDefault="00BA71DF" w:rsidP="00E5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1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71" w:type="dxa"/>
            <w:vMerge w:val="restart"/>
          </w:tcPr>
          <w:p w:rsidR="00BA71DF" w:rsidRPr="00644C8F" w:rsidRDefault="00BA71DF" w:rsidP="00E5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нормативных правовых актов с указанием их структурных единиц, которыми установлены обязательные </w:t>
            </w:r>
            <w:r w:rsidRPr="0064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767" w:type="dxa"/>
            <w:gridSpan w:val="3"/>
          </w:tcPr>
          <w:p w:rsidR="00BA71DF" w:rsidRPr="00644C8F" w:rsidRDefault="00BA71DF" w:rsidP="00E5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487" w:type="dxa"/>
            <w:vMerge w:val="restart"/>
          </w:tcPr>
          <w:p w:rsidR="00BA71DF" w:rsidRPr="00644C8F" w:rsidRDefault="00BA71DF" w:rsidP="00E5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A71DF" w:rsidTr="00E551B3">
        <w:tc>
          <w:tcPr>
            <w:tcW w:w="527" w:type="dxa"/>
            <w:vMerge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A71DF" w:rsidRPr="00BA3574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9" w:type="dxa"/>
          </w:tcPr>
          <w:p w:rsidR="00BA71DF" w:rsidRPr="00BA3574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8" w:type="dxa"/>
          </w:tcPr>
          <w:p w:rsidR="00BA71DF" w:rsidRPr="00BA3574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7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487" w:type="dxa"/>
            <w:vMerge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Имеются ли у юридического лица (далее - ЮЛ), индивидуального предпринимателя (далее - ИП) аттракционы с низкой, средней и высокой степенью потенциального биомеханического риска (далее - аттракцион), не зарегистрированные в установленном законом порядке?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6 постановления Правительства Российской Федерации от 30 декабря 2019 года № 1939 «Об утверждении Правил государственной регистрации аттракционов» (далее - Правила регистрации аттракционов);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122 Раздела V Требований к техническому состоянию и эксплуатации аттракционов, утвержденных постановлением Правительства Российской Федерации от 20 декабря 2019 года № 1732 (далее - постановление Правительства Российской Федерации № 1732)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свидетельство о государственной регистрации </w:t>
            </w:r>
            <w:proofErr w:type="gramStart"/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 аттракциона у оператора аттракциона?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12 Правил регистрации аттракционов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Размещен ли государственный регистрационный знак в установленном месте?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11 Правил регистрации аттракционов;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подпункт «б» пункта 123 постановления Правительства Российской Федерации № 1732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Соблюдается ли обязанность проведения ежегодных </w:t>
            </w:r>
            <w:r w:rsidRPr="00D87DB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периодических проверок технического состояния аттракциона?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«л», пункт 18 Правил регистрации аттракционов;</w:t>
            </w:r>
          </w:p>
          <w:p w:rsidR="00BA71DF" w:rsidRPr="00D87DB9" w:rsidRDefault="00BA71DF" w:rsidP="00E551B3">
            <w:pPr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«г» пункта 124 постановления Правительства Российской Федерации № 1732;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5.3.3 ГОСТ 54991-2012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выданное специализированной организацией по результатам обследования заключение, содержащее условия и возможный срок продления эксплуатации аттракциона 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подпункт «н», пункт 18 Правил регистрации аттракционов;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подпункт «л» пункта 123 постановления Правительства Российской Федерации № 1732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47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D87DB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Имеются ли для передвижных аттракционов:</w:t>
            </w:r>
          </w:p>
          <w:p w:rsidR="00BA71DF" w:rsidRPr="00D87DB9" w:rsidRDefault="00BA71DF" w:rsidP="00E551B3">
            <w:pPr>
              <w:pStyle w:val="ConsPlusNormal"/>
              <w:ind w:firstLine="470"/>
              <w:jc w:val="both"/>
            </w:pPr>
            <w:r w:rsidRPr="00D87DB9">
              <w:rPr>
                <w:spacing w:val="1"/>
                <w:shd w:val="clear" w:color="auto" w:fill="FFFFFF"/>
              </w:rPr>
              <w:t>- акт о допуске аттракциона к эксплуатации;</w:t>
            </w:r>
            <w:r w:rsidRPr="00D87DB9">
              <w:rPr>
                <w:spacing w:val="1"/>
              </w:rPr>
              <w:br/>
            </w:r>
            <w:r w:rsidRPr="00D87DB9">
              <w:rPr>
                <w:spacing w:val="1"/>
                <w:shd w:val="clear" w:color="auto" w:fill="FFFFFF"/>
              </w:rPr>
              <w:t>- акт о сборке и испытаниях со всеми приложениями;</w:t>
            </w:r>
            <w:r w:rsidRPr="00D87DB9">
              <w:rPr>
                <w:spacing w:val="1"/>
              </w:rPr>
              <w:br/>
            </w:r>
            <w:r w:rsidRPr="00D87DB9">
              <w:rPr>
                <w:spacing w:val="1"/>
                <w:shd w:val="clear" w:color="auto" w:fill="FFFFFF"/>
              </w:rPr>
              <w:t>- эксплуатационную документацию на аттракцион;</w:t>
            </w:r>
            <w:r w:rsidRPr="00D87DB9">
              <w:rPr>
                <w:spacing w:val="1"/>
              </w:rPr>
              <w:br/>
            </w:r>
            <w:r w:rsidRPr="00D87DB9">
              <w:rPr>
                <w:spacing w:val="1"/>
                <w:shd w:val="clear" w:color="auto" w:fill="FFFFFF"/>
              </w:rPr>
              <w:t>- протоколы испытаний и замеров сопротивления изоляции и заземления электрооборудования согласно эксплуатационной документации (если они не проводились организацией, выполнявшей сборку)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 xml:space="preserve">пункты 5.3, </w:t>
            </w:r>
            <w:hyperlink r:id="rId7" w:history="1">
              <w:r w:rsidRPr="00D87DB9">
                <w:t>5.3.2</w:t>
              </w:r>
            </w:hyperlink>
            <w:r w:rsidRPr="00D87DB9">
              <w:t xml:space="preserve">, 5.3.3 ГОСТ </w:t>
            </w:r>
            <w:proofErr w:type="gramStart"/>
            <w:r w:rsidRPr="00D87DB9">
              <w:t>Р</w:t>
            </w:r>
            <w:proofErr w:type="gramEnd"/>
            <w:r w:rsidRPr="00D87DB9">
              <w:t xml:space="preserve"> 54991-2012 Безопасность аттракционов. Общие требования безопасности передвижных аттракционов 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Имеются ли сведения о маршруте движения аттракциона (для самоходных аттракционов, передвигающихся по установленному маршруту)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подпункт «м», пункт 18 Правил регистрации аттракционов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D8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об обучении эксплуатирующих, обслуживающих аттракционы, а так же лиц ответственных за эксплуатацию аттракционной техники?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lastRenderedPageBreak/>
              <w:t xml:space="preserve">пункт 6.1 ГОСТ </w:t>
            </w:r>
            <w:r w:rsidRPr="00D87DB9">
              <w:lastRenderedPageBreak/>
              <w:t xml:space="preserve">55515-2013 «Оборудование надувное игровое. Требования безопасности при эксплуатации», </w:t>
            </w:r>
          </w:p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>пункты 7.4.3.1, 7.4.5.3 ГОСТ 33807-2016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DF" w:rsidRPr="00D87DB9" w:rsidRDefault="00BA71DF" w:rsidP="00E551B3">
            <w:pPr>
              <w:pStyle w:val="formattext"/>
              <w:shd w:val="clear" w:color="auto" w:fill="FFFFFF"/>
              <w:spacing w:before="0" w:beforeAutospacing="0" w:after="0" w:afterAutospacing="0"/>
              <w:ind w:firstLine="328"/>
              <w:jc w:val="both"/>
              <w:textAlignment w:val="baseline"/>
              <w:rPr>
                <w:spacing w:val="1"/>
              </w:rPr>
            </w:pPr>
            <w:r w:rsidRPr="00D87DB9">
              <w:rPr>
                <w:spacing w:val="1"/>
              </w:rPr>
              <w:t>Имеются ли эксплуатационные документы:</w:t>
            </w:r>
          </w:p>
          <w:p w:rsidR="00BA71DF" w:rsidRPr="00D87DB9" w:rsidRDefault="00BA71DF" w:rsidP="00E551B3">
            <w:pPr>
              <w:pStyle w:val="formattext"/>
              <w:shd w:val="clear" w:color="auto" w:fill="FFFFFF"/>
              <w:spacing w:before="0" w:beforeAutospacing="0" w:after="0" w:afterAutospacing="0"/>
              <w:ind w:firstLine="328"/>
              <w:jc w:val="both"/>
              <w:textAlignment w:val="baseline"/>
              <w:rPr>
                <w:spacing w:val="1"/>
              </w:rPr>
            </w:pPr>
            <w:r w:rsidRPr="00D87DB9">
              <w:rPr>
                <w:spacing w:val="1"/>
              </w:rPr>
              <w:t>а) паспорт (формуляр) аттракциона с отметками о регистрации;</w:t>
            </w:r>
          </w:p>
          <w:p w:rsidR="00BA71DF" w:rsidRPr="00D87DB9" w:rsidRDefault="00BA71DF" w:rsidP="00E551B3">
            <w:pPr>
              <w:pStyle w:val="formattext"/>
              <w:shd w:val="clear" w:color="auto" w:fill="FFFFFF"/>
              <w:spacing w:before="0" w:beforeAutospacing="0" w:after="0" w:afterAutospacing="0"/>
              <w:ind w:firstLine="328"/>
              <w:jc w:val="both"/>
              <w:textAlignment w:val="baseline"/>
              <w:rPr>
                <w:spacing w:val="1"/>
              </w:rPr>
            </w:pPr>
            <w:r w:rsidRPr="00D87DB9">
              <w:rPr>
                <w:spacing w:val="1"/>
              </w:rPr>
              <w:t>б) руководство по эксплуатации аттракциона и руководство по техническому обслуживанию аттракциона;</w:t>
            </w:r>
          </w:p>
          <w:p w:rsidR="00BA71DF" w:rsidRPr="00D87DB9" w:rsidRDefault="00BA71DF" w:rsidP="00E551B3">
            <w:pPr>
              <w:pStyle w:val="formattext"/>
              <w:shd w:val="clear" w:color="auto" w:fill="FFFFFF"/>
              <w:spacing w:before="0" w:beforeAutospacing="0" w:after="0" w:afterAutospacing="0"/>
              <w:ind w:firstLine="328"/>
              <w:jc w:val="both"/>
              <w:textAlignment w:val="baseline"/>
              <w:rPr>
                <w:spacing w:val="1"/>
              </w:rPr>
            </w:pPr>
            <w:r w:rsidRPr="00D87DB9">
              <w:rPr>
                <w:spacing w:val="1"/>
              </w:rPr>
              <w:t>в) журнал ежедневного допуска аттракциона к работе и журнал учета технического обслуживания и ремонта аттракциона;</w:t>
            </w:r>
          </w:p>
          <w:p w:rsidR="00BA71DF" w:rsidRPr="00D87DB9" w:rsidRDefault="00BA71DF" w:rsidP="00E551B3">
            <w:pPr>
              <w:pStyle w:val="formattext"/>
              <w:shd w:val="clear" w:color="auto" w:fill="FFFFFF"/>
              <w:spacing w:before="0" w:beforeAutospacing="0" w:after="0" w:afterAutospacing="0"/>
              <w:ind w:firstLine="328"/>
              <w:jc w:val="both"/>
              <w:textAlignment w:val="baseline"/>
            </w:pPr>
            <w:r w:rsidRPr="00D87DB9">
              <w:rPr>
                <w:spacing w:val="1"/>
              </w:rPr>
              <w:t>г) сведения о назначенных лицах, ответственных за безопасную эксплуатацию аттракциона и за техническое состояние аттракциона в эксплуатирующей организации.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>пункт 125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pStyle w:val="ConsPlusNormal"/>
              <w:ind w:firstLine="327"/>
              <w:jc w:val="both"/>
            </w:pPr>
            <w:r w:rsidRPr="00D87DB9">
              <w:t>Наличие информации для персонала и посетителей (правил)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>пункт 123 постановления Правительства Российской Федерации № 1732;</w:t>
            </w:r>
          </w:p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>пункт 4.7 ГОСТ 33807-2016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pStyle w:val="ConsPlusNormal"/>
              <w:ind w:firstLine="327"/>
              <w:jc w:val="both"/>
            </w:pPr>
            <w:r w:rsidRPr="00D87DB9">
              <w:t xml:space="preserve">Наличие информации об ограничениях пользования аттракционом, в том числе с </w:t>
            </w:r>
            <w:r w:rsidRPr="00D87DB9">
              <w:lastRenderedPageBreak/>
              <w:t>использованием пиктограмм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lastRenderedPageBreak/>
              <w:t>пункт 123 постановления Правительства Российской Федерации № 1732;</w:t>
            </w:r>
          </w:p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 xml:space="preserve">пункт 4.7.2 </w:t>
            </w:r>
            <w:r w:rsidRPr="00D87DB9">
              <w:lastRenderedPageBreak/>
              <w:t>ГОСТ 33807-2016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pStyle w:val="ConsPlusNormal"/>
              <w:ind w:firstLine="327"/>
              <w:jc w:val="both"/>
            </w:pPr>
            <w:r w:rsidRPr="00D87DB9">
              <w:t>Наличие информации об адресах и телефонах экстренных служб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>пункт 4.7.4 ГОСТ 33807-2016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возрасту  оператора аттракциона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пункт 12.2.1 ГОСТ </w:t>
            </w:r>
            <w:proofErr w:type="gramStart"/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 54991-2012</w:t>
            </w:r>
          </w:p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6.5 ГОСТ 55515-2013 «Оборудование надувное игровое. Требования безопасности при эксплуатации»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pStyle w:val="ConsPlusNormal"/>
              <w:ind w:firstLine="327"/>
              <w:jc w:val="both"/>
            </w:pPr>
            <w:r w:rsidRPr="00D87DB9">
              <w:t>Наличие схем загрузки аттракциона пассажирами (если это предусмотрено эксплуатационными документами)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 xml:space="preserve">подпункт «л» пункта 79 </w:t>
            </w:r>
            <w:proofErr w:type="gramStart"/>
            <w:r w:rsidRPr="00D87DB9">
              <w:t>ТР</w:t>
            </w:r>
            <w:proofErr w:type="gramEnd"/>
            <w:r w:rsidRPr="00D87DB9">
              <w:t xml:space="preserve"> ЕАЭС 038/2016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DF" w:rsidRPr="00D87DB9" w:rsidRDefault="00BA71DF" w:rsidP="00E551B3">
            <w:pPr>
              <w:pStyle w:val="ConsPlusNormal"/>
              <w:ind w:firstLine="327"/>
              <w:jc w:val="both"/>
            </w:pPr>
            <w:r w:rsidRPr="00D87DB9">
              <w:t>Наличие средств и приборов для измерения роста и веса пассажиров (если это предусмотрено эксплуатационными документами)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 xml:space="preserve">подпункт «г» пункта 79 </w:t>
            </w:r>
            <w:proofErr w:type="gramStart"/>
            <w:r w:rsidRPr="00D87DB9">
              <w:t>ТР</w:t>
            </w:r>
            <w:proofErr w:type="gramEnd"/>
            <w:r w:rsidRPr="00D87DB9">
              <w:t xml:space="preserve"> ЕАЭС 038/2016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DF" w:rsidRPr="00D87DB9" w:rsidRDefault="00BA71DF" w:rsidP="00E551B3">
            <w:pPr>
              <w:pStyle w:val="ConsPlusNormal"/>
              <w:ind w:firstLine="327"/>
              <w:jc w:val="both"/>
            </w:pPr>
            <w:r w:rsidRPr="00D87DB9">
              <w:t>Наличие медицинских аптечек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DF" w:rsidRPr="00D87DB9" w:rsidRDefault="00BA71DF" w:rsidP="00E551B3">
            <w:pPr>
              <w:pStyle w:val="ConsPlusNormal"/>
              <w:ind w:firstLine="335"/>
              <w:jc w:val="both"/>
            </w:pPr>
            <w:r w:rsidRPr="00D87DB9">
              <w:t xml:space="preserve">подпункт «ж» пункта 79 </w:t>
            </w:r>
            <w:proofErr w:type="gramStart"/>
            <w:r w:rsidRPr="00D87DB9">
              <w:t>ТР</w:t>
            </w:r>
            <w:proofErr w:type="gramEnd"/>
            <w:r w:rsidRPr="00D87DB9">
              <w:t xml:space="preserve"> ЕАЭС 038/2016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Соответствует ли маркировка аттракциона технической документации и регистрационным документам?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25 Правил регистрации аттракционов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Исполняются ли обязательные требования при эксплуатации аттракционов?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пункт 123 Раздела V постановления Правительства Российской Федерации № 1732,  пункт 79 – 91 раздела </w:t>
            </w:r>
            <w:r w:rsidRPr="00D8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 ЕАЭС 038/2016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Исполняется ли обязанность ЮЛ, ИП по проведению периодических проверок технического состояния аттракциона?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124 Раздела V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внешнему виду и содержанию аттракционов?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4 - 8 Раздела III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ограждениям аттракционов?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9 - 15 Раздела III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платформам, трапам, полам, лестницам и проходам?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16 - 28 Раздела III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пассажирским модулям?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29 - 37 Раздела III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обеспечению безопасной посадки и высадки пассажиров?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38 - 41 Раздела III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и монтажу аттракциона?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42 - 50 Раздела III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нестационарным источникам электроснабжения (генераторам) аттракционов?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 51 Раздела III постановления Правительства Российской Федерации N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аттракционам механизированным поступательного, вращательного и сложного движения?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52 - 53 Раздела IV, пункты 126 - 143 Раздела V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к техническому состоянию автодромов и </w:t>
            </w:r>
            <w:r w:rsidRPr="00D8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картингов?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54 - 75 Раздела IV, пункты 144 - 151 Раздела V постановления Правительства </w:t>
            </w:r>
            <w:r w:rsidRPr="00D8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техническому состоянию аттракционов надувных?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76 - 94 Раздела IV, пункты 152 - 157 Раздела V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DF" w:rsidTr="00E551B3">
        <w:tc>
          <w:tcPr>
            <w:tcW w:w="527" w:type="dxa"/>
          </w:tcPr>
          <w:p w:rsidR="00BA71DF" w:rsidRPr="00A60B19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5" w:type="dxa"/>
          </w:tcPr>
          <w:p w:rsidR="00BA71DF" w:rsidRPr="00D87DB9" w:rsidRDefault="00BA71DF" w:rsidP="00E551B3">
            <w:pPr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техническому состоянию аттракционов водных немеханизированных?</w:t>
            </w:r>
          </w:p>
        </w:tc>
        <w:tc>
          <w:tcPr>
            <w:tcW w:w="2471" w:type="dxa"/>
          </w:tcPr>
          <w:p w:rsidR="00BA71DF" w:rsidRPr="00D87DB9" w:rsidRDefault="00BA71DF" w:rsidP="00E551B3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9">
              <w:rPr>
                <w:rFonts w:ascii="Times New Roman" w:hAnsi="Times New Roman" w:cs="Times New Roman"/>
                <w:sz w:val="24"/>
                <w:szCs w:val="24"/>
              </w:rPr>
              <w:t>пункты 95 - 121 Раздела IV, пункты 158 - 166 Раздела V постановления Правительства Российской Федерации № 1732</w:t>
            </w:r>
          </w:p>
        </w:tc>
        <w:tc>
          <w:tcPr>
            <w:tcW w:w="760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A71DF" w:rsidRPr="00644C8F" w:rsidRDefault="00BA71DF" w:rsidP="00E5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DF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1DF" w:rsidRPr="00D62604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604">
        <w:rPr>
          <w:rFonts w:ascii="Times New Roman" w:hAnsi="Times New Roman" w:cs="Times New Roman"/>
          <w:sz w:val="28"/>
          <w:szCs w:val="28"/>
        </w:rPr>
        <w:t>6. Предмет плановой проверки ограничивается обязательными требованиями, установленными следующими нормативными правовыми актами:</w:t>
      </w:r>
    </w:p>
    <w:p w:rsidR="00BA71DF" w:rsidRPr="00D62604" w:rsidRDefault="00BA71DF" w:rsidP="00BA71D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62604">
        <w:rPr>
          <w:color w:val="auto"/>
          <w:sz w:val="28"/>
          <w:szCs w:val="28"/>
        </w:rPr>
        <w:t>- Федеральным законом от 27.12.2002 № 184-ФЗ «О техническом регулировании»;</w:t>
      </w:r>
    </w:p>
    <w:p w:rsidR="00BA71DF" w:rsidRPr="00D62604" w:rsidRDefault="00BA71DF" w:rsidP="00BA71D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62604">
        <w:rPr>
          <w:color w:val="auto"/>
          <w:sz w:val="28"/>
          <w:szCs w:val="28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71DF" w:rsidRPr="00237999" w:rsidRDefault="00BA71DF" w:rsidP="00BA71DF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Евразийской экономической комиссии от 18.10.2016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техническом регламенте 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разийского экономического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аттракционов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1DF" w:rsidRPr="00237999" w:rsidRDefault="00BA71DF" w:rsidP="00BA71D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62604">
        <w:rPr>
          <w:color w:val="auto"/>
          <w:sz w:val="28"/>
          <w:szCs w:val="28"/>
        </w:rPr>
        <w:t xml:space="preserve">- </w:t>
      </w:r>
      <w:r w:rsidRPr="00237999">
        <w:rPr>
          <w:color w:val="auto"/>
          <w:sz w:val="28"/>
          <w:szCs w:val="28"/>
        </w:rPr>
        <w:t>ГОСТ 33807-2016. «Межгосударственный стандарт. Безопасность аттракционов. Общие требования»;</w:t>
      </w:r>
    </w:p>
    <w:p w:rsidR="00BA71DF" w:rsidRPr="00237999" w:rsidRDefault="00BA71DF" w:rsidP="00BA7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99">
        <w:rPr>
          <w:rFonts w:ascii="Times New Roman" w:hAnsi="Times New Roman" w:cs="Times New Roman"/>
          <w:sz w:val="28"/>
          <w:szCs w:val="28"/>
        </w:rPr>
        <w:t xml:space="preserve">- 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55515-2013. «Национальный стандарт Российской Федерации. Оборудование надувное игровое. Требования безопасности при эксплуатации»;</w:t>
      </w:r>
    </w:p>
    <w:p w:rsidR="00BA71DF" w:rsidRPr="00237999" w:rsidRDefault="00BA71DF" w:rsidP="00BA71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54991-2012.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 Российской Федерации. Безопасность аттракционов. Общие требования безопасности передвижных аттракционов»;</w:t>
      </w:r>
    </w:p>
    <w:p w:rsidR="00BA71DF" w:rsidRPr="00237999" w:rsidRDefault="00BA71DF" w:rsidP="00BA71DF">
      <w:pPr>
        <w:spacing w:after="0" w:line="240" w:lineRule="auto"/>
        <w:ind w:firstLine="851"/>
        <w:jc w:val="both"/>
        <w:rPr>
          <w:sz w:val="28"/>
          <w:szCs w:val="28"/>
        </w:rPr>
      </w:pP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20.12.2019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техническому состоянию и эксплуатации аттракционов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1DF" w:rsidRPr="00D62604" w:rsidRDefault="00BA71DF" w:rsidP="00BA71DF">
      <w:pPr>
        <w:spacing w:after="0" w:line="240" w:lineRule="auto"/>
        <w:ind w:firstLine="851"/>
        <w:jc w:val="both"/>
        <w:rPr>
          <w:sz w:val="28"/>
          <w:szCs w:val="28"/>
        </w:rPr>
      </w:pP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30.12.2019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государственной регистрации аттракционов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71DF" w:rsidRDefault="00BA71DF" w:rsidP="00BA71D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62604">
        <w:rPr>
          <w:color w:val="auto"/>
          <w:sz w:val="28"/>
          <w:szCs w:val="28"/>
        </w:rPr>
        <w:t>- Постановление Правительства Х</w:t>
      </w:r>
      <w:r>
        <w:rPr>
          <w:color w:val="auto"/>
          <w:sz w:val="28"/>
          <w:szCs w:val="28"/>
        </w:rPr>
        <w:t>анты-</w:t>
      </w:r>
      <w:r w:rsidRPr="00D6260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ансийского автономного округа –</w:t>
      </w:r>
      <w:r w:rsidRPr="00D62604">
        <w:rPr>
          <w:color w:val="auto"/>
          <w:sz w:val="28"/>
          <w:szCs w:val="28"/>
        </w:rPr>
        <w:t xml:space="preserve"> Югры</w:t>
      </w:r>
      <w:r>
        <w:rPr>
          <w:color w:val="auto"/>
          <w:sz w:val="28"/>
          <w:szCs w:val="28"/>
        </w:rPr>
        <w:t xml:space="preserve"> </w:t>
      </w:r>
      <w:r w:rsidRPr="00D62604">
        <w:rPr>
          <w:color w:val="auto"/>
          <w:sz w:val="28"/>
          <w:szCs w:val="28"/>
        </w:rPr>
        <w:t xml:space="preserve">от 24.05.2012 № 165-п </w:t>
      </w:r>
      <w:r w:rsidRPr="00D62604">
        <w:rPr>
          <w:iCs/>
          <w:color w:val="auto"/>
          <w:sz w:val="28"/>
          <w:szCs w:val="28"/>
        </w:rPr>
        <w:t xml:space="preserve">«О </w:t>
      </w:r>
      <w:r w:rsidRPr="00D62604">
        <w:rPr>
          <w:color w:val="auto"/>
          <w:sz w:val="28"/>
          <w:szCs w:val="28"/>
        </w:rPr>
        <w:t xml:space="preserve">Службе государственного надзора за техническим состоянием самоходных машин и других видов техники Ханты-Мансийского автономного округа </w:t>
      </w:r>
      <w:r>
        <w:rPr>
          <w:color w:val="auto"/>
          <w:sz w:val="28"/>
          <w:szCs w:val="28"/>
        </w:rPr>
        <w:t>–</w:t>
      </w:r>
      <w:r w:rsidRPr="00D62604">
        <w:rPr>
          <w:color w:val="auto"/>
          <w:sz w:val="28"/>
          <w:szCs w:val="28"/>
        </w:rPr>
        <w:t xml:space="preserve"> Югры»</w:t>
      </w:r>
      <w:r>
        <w:rPr>
          <w:color w:val="auto"/>
          <w:sz w:val="28"/>
          <w:szCs w:val="28"/>
        </w:rPr>
        <w:t>.</w:t>
      </w:r>
    </w:p>
    <w:p w:rsidR="00BA71DF" w:rsidRDefault="00BA71DF" w:rsidP="00BA71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A71DF" w:rsidRDefault="00BA71DF" w:rsidP="00BA71D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Должность, фамилия и инициалы юридического лица, индивидуального предпринимателя, заполняющего проверочный лист </w:t>
      </w:r>
      <w:r>
        <w:rPr>
          <w:color w:val="auto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BA71DF" w:rsidRDefault="00BA71DF" w:rsidP="00BA71DF">
      <w:pPr>
        <w:pStyle w:val="Default"/>
        <w:rPr>
          <w:color w:val="auto"/>
          <w:sz w:val="28"/>
          <w:szCs w:val="28"/>
        </w:rPr>
      </w:pPr>
    </w:p>
    <w:p w:rsidR="00BA71DF" w:rsidRDefault="00BA71DF" w:rsidP="00BA71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604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 лица органа государственного контроля проводящего проверку и заполняющего проверочный лист:_____________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62604">
        <w:rPr>
          <w:rFonts w:ascii="Times New Roman" w:hAnsi="Times New Roman" w:cs="Times New Roman"/>
          <w:sz w:val="28"/>
          <w:szCs w:val="28"/>
        </w:rPr>
        <w:t>____</w:t>
      </w:r>
    </w:p>
    <w:p w:rsidR="00515D37" w:rsidRPr="00515D37" w:rsidRDefault="00BA71DF" w:rsidP="00BA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60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626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Pr="00D62604">
        <w:rPr>
          <w:rFonts w:ascii="Times New Roman" w:hAnsi="Times New Roman" w:cs="Times New Roman"/>
          <w:sz w:val="28"/>
          <w:szCs w:val="28"/>
        </w:rPr>
        <w:t>_</w:t>
      </w:r>
    </w:p>
    <w:sectPr w:rsidR="00515D37" w:rsidRPr="00515D37" w:rsidSect="003E2F07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0" w:rsidRDefault="000C7170" w:rsidP="00D62604">
      <w:pPr>
        <w:spacing w:after="0" w:line="240" w:lineRule="auto"/>
      </w:pPr>
      <w:r>
        <w:separator/>
      </w:r>
    </w:p>
  </w:endnote>
  <w:endnote w:type="continuationSeparator" w:id="0">
    <w:p w:rsidR="000C7170" w:rsidRDefault="000C7170" w:rsidP="00D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0" w:rsidRDefault="000C7170" w:rsidP="00D62604">
      <w:pPr>
        <w:spacing w:after="0" w:line="240" w:lineRule="auto"/>
      </w:pPr>
      <w:r>
        <w:separator/>
      </w:r>
    </w:p>
  </w:footnote>
  <w:footnote w:type="continuationSeparator" w:id="0">
    <w:p w:rsidR="000C7170" w:rsidRDefault="000C7170" w:rsidP="00D6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8"/>
    <w:rsid w:val="000830EF"/>
    <w:rsid w:val="000C7170"/>
    <w:rsid w:val="001A53F6"/>
    <w:rsid w:val="001B4E9E"/>
    <w:rsid w:val="00222960"/>
    <w:rsid w:val="00237999"/>
    <w:rsid w:val="002B660A"/>
    <w:rsid w:val="003304BC"/>
    <w:rsid w:val="003565C4"/>
    <w:rsid w:val="00374CD8"/>
    <w:rsid w:val="0039668B"/>
    <w:rsid w:val="003E2F07"/>
    <w:rsid w:val="00420B8A"/>
    <w:rsid w:val="004C42D6"/>
    <w:rsid w:val="00515D37"/>
    <w:rsid w:val="0051604E"/>
    <w:rsid w:val="006D04A6"/>
    <w:rsid w:val="00A55601"/>
    <w:rsid w:val="00AA2B61"/>
    <w:rsid w:val="00BA71DF"/>
    <w:rsid w:val="00BF7767"/>
    <w:rsid w:val="00C139C9"/>
    <w:rsid w:val="00C344A4"/>
    <w:rsid w:val="00D54AF8"/>
    <w:rsid w:val="00D62604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660A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660A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660A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B660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0">
    <w:name w:val="Основной текст (2)"/>
    <w:basedOn w:val="a"/>
    <w:link w:val="2"/>
    <w:rsid w:val="002B660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rsid w:val="002B660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a3">
    <w:name w:val="Основной текст_"/>
    <w:basedOn w:val="a0"/>
    <w:link w:val="21"/>
    <w:rsid w:val="002B66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2B660A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B660A"/>
    <w:pPr>
      <w:widowControl w:val="0"/>
      <w:shd w:val="clear" w:color="auto" w:fill="FFFFFF"/>
      <w:spacing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2B6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Calibri" w:eastAsia="Calibri" w:hAnsi="Calibri" w:cs="Calibri"/>
    </w:rPr>
  </w:style>
  <w:style w:type="paragraph" w:customStyle="1" w:styleId="ConsPlusNormal">
    <w:name w:val="ConsPlusNormal"/>
    <w:rsid w:val="0023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1DF"/>
    <w:pPr>
      <w:ind w:left="720"/>
      <w:contextualSpacing/>
    </w:pPr>
  </w:style>
  <w:style w:type="paragraph" w:customStyle="1" w:styleId="formattext">
    <w:name w:val="formattext"/>
    <w:basedOn w:val="a"/>
    <w:rsid w:val="00BA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F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B660A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660A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660A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B660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0">
    <w:name w:val="Основной текст (2)"/>
    <w:basedOn w:val="a"/>
    <w:link w:val="2"/>
    <w:rsid w:val="002B660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0">
    <w:name w:val="Основной текст (3)"/>
    <w:basedOn w:val="a"/>
    <w:link w:val="3"/>
    <w:rsid w:val="002B660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a3">
    <w:name w:val="Основной текст_"/>
    <w:basedOn w:val="a0"/>
    <w:link w:val="21"/>
    <w:rsid w:val="002B66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2B660A"/>
    <w:rPr>
      <w:rFonts w:ascii="Times New Roman" w:eastAsia="Times New Roman" w:hAnsi="Times New Roman" w:cs="Times New Roman"/>
      <w:b/>
      <w:bCs/>
      <w:color w:val="000000"/>
      <w:spacing w:val="6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B660A"/>
    <w:pPr>
      <w:widowControl w:val="0"/>
      <w:shd w:val="clear" w:color="auto" w:fill="FFFFFF"/>
      <w:spacing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2B6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Calibri" w:eastAsia="Calibri" w:hAnsi="Calibri" w:cs="Calibri"/>
    </w:rPr>
  </w:style>
  <w:style w:type="paragraph" w:customStyle="1" w:styleId="ConsPlusNormal">
    <w:name w:val="ConsPlusNormal"/>
    <w:rsid w:val="0023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1DF"/>
    <w:pPr>
      <w:ind w:left="720"/>
      <w:contextualSpacing/>
    </w:pPr>
  </w:style>
  <w:style w:type="paragraph" w:customStyle="1" w:styleId="formattext">
    <w:name w:val="formattext"/>
    <w:basedOn w:val="a"/>
    <w:rsid w:val="00BA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OTN&amp;n=2923&amp;date=16.09.2020&amp;dst=100079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Людмила Николаевна</dc:creator>
  <cp:keywords/>
  <dc:description/>
  <cp:lastModifiedBy>Лотова Оксана Павловна</cp:lastModifiedBy>
  <cp:revision>15</cp:revision>
  <cp:lastPrinted>2021-02-04T06:55:00Z</cp:lastPrinted>
  <dcterms:created xsi:type="dcterms:W3CDTF">2020-09-16T05:23:00Z</dcterms:created>
  <dcterms:modified xsi:type="dcterms:W3CDTF">2021-03-30T04:37:00Z</dcterms:modified>
</cp:coreProperties>
</file>